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3A" w:rsidRPr="0021303A" w:rsidRDefault="0021303A" w:rsidP="0021303A">
      <w:pPr>
        <w:pBdr>
          <w:bottom w:val="single" w:sz="6" w:space="0" w:color="DDDDDD"/>
        </w:pBd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</w:pPr>
      <w:r w:rsidRPr="0021303A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begin"/>
      </w:r>
      <w:r w:rsidRPr="0021303A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instrText xml:space="preserve"> HYPERLINK "https://koydan.ru/informatsiya-dlya-sub-ektov-malogo-i-srednego-predprinimatelstva/statya-16-1-programma-razvitiya-postavshchikov-ispolnitelej-podryadchikov" </w:instrText>
      </w:r>
      <w:r w:rsidRPr="0021303A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separate"/>
      </w:r>
      <w:r w:rsidRPr="0021303A">
        <w:rPr>
          <w:rFonts w:ascii="Arial" w:eastAsia="Times New Roman" w:hAnsi="Arial" w:cs="Arial"/>
          <w:b/>
          <w:bCs/>
          <w:color w:val="172C54"/>
          <w:sz w:val="27"/>
          <w:szCs w:val="27"/>
          <w:u w:val="single"/>
          <w:lang w:eastAsia="ru-RU"/>
        </w:rPr>
        <w:t>Статья 16.1. Программа развития поставщиков (исполнителей, подрядчиков)</w:t>
      </w:r>
      <w:r w:rsidRPr="0021303A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fldChar w:fldCharType="end"/>
      </w:r>
    </w:p>
    <w:p w:rsidR="00C41282" w:rsidRDefault="00C41282"/>
    <w:p w:rsidR="0021303A" w:rsidRDefault="0021303A"/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1. Заказчики, осуществляющие закупки в соответствии с Федеральным законом от 18 июля 2011 года N 223-ФЗ "О закупках товаров, работ, услуг отдельными видами юридических лиц", при участии корпорации развития малого и среднего предпринимательства, организаций, образующих инфраструктуру поддержки субъектов малого и среднего предпринимательства, заинтересованных органов (организаций) вправе утверждать программы развития поставщиков (исполнителей, подрядчиков) и обеспечивать реализацию программ развития поставщиков (исполнителей, подрядчиков). Программы развития поставщиков (исполнителей, подрядчиков) реализуются указанными заказчиками без привлечения ими денежных средств бюджетов бюджетной системы Российской Федерации, а также денежных средств,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Федерации.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2. Участниками программ развития поставщиков (исполнителей, подрядчиков) могут являться субъекты малого и среднего предпринимательства,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(исполнителей, подрядчиков) соответствуют следующим основным требованиям: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1) не проведение ликвидации субъекта малого или среднего предпринимательства - юридического лица, не прекращение деятельности субъекта малого или среднего предпринимательства - физического лица, зарегистрированного в качестве индивидуального предпринимателя, и отсутствие решения арбитражного суда о признании субъекта малого или среднего предпринимательства несостоятельным (банкротом) и об открытии конкурсного производства;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2) не приостановление деятельности субъекта малого или среднего предпринимательства в порядке, установленном Кодексом Российской Федерации об административных правонарушениях;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3) отсутствие у субъекта малого или среднего предпринимательства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субъекта малого или среднего предпринимательства, по данным бухгалтерской (финансовой) отчетности за последний отчетный период;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4) отсутствие у субъекта малого или среднего предпринимательства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субъекта малого или среднего предпринимательства - юридического лица непогашенной или неснятой судимости за преступления в сфере экономики и (или) преступления, предусмотренные статьями 289 - 291.1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данного субъекта малого или среднего предпринимательства, и административного наказания в виде дисквалификации в период, когда лицо считается подвергнутым такому наказанию;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 xml:space="preserve">5) отсутствие сведений о субъекте малого или среднего предпринимательства в реестре недобросовестных поставщиков, ведение которого осуществляется в соответствии с Федеральным законом от 18 июля 2011 года N 223-ФЗ "О закупках товаров, работ, услуг отдельными видами юридических лиц", и в реестре недобросовестных поставщиков (подрядчиков, </w:t>
      </w:r>
      <w:r>
        <w:rPr>
          <w:rFonts w:ascii="Arial" w:hAnsi="Arial" w:cs="Arial"/>
          <w:color w:val="18385A"/>
          <w:sz w:val="20"/>
          <w:szCs w:val="20"/>
        </w:rPr>
        <w:lastRenderedPageBreak/>
        <w:t>исполнителей), ведение которого осуществляется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6) отсутствие сведений о субъекте малого или среднего предпринимательства в указанном в части 10 настоящей статьи реестре участников программ развития поставщиков (исполнителей, подрядчиков), не исполнивших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7) отсутствие отношений связанности (</w:t>
      </w:r>
      <w:proofErr w:type="spellStart"/>
      <w:r>
        <w:rPr>
          <w:rFonts w:ascii="Arial" w:hAnsi="Arial" w:cs="Arial"/>
          <w:color w:val="18385A"/>
          <w:sz w:val="20"/>
          <w:szCs w:val="20"/>
        </w:rPr>
        <w:t>аффилированности</w:t>
      </w:r>
      <w:proofErr w:type="spellEnd"/>
      <w:r>
        <w:rPr>
          <w:rFonts w:ascii="Arial" w:hAnsi="Arial" w:cs="Arial"/>
          <w:color w:val="18385A"/>
          <w:sz w:val="20"/>
          <w:szCs w:val="20"/>
        </w:rPr>
        <w:t>) с заказчиком, утвердившим программу развития поставщиков (исполнителей, подрядчиков). Наличие или отсутствие отношений связанности (</w:t>
      </w:r>
      <w:proofErr w:type="spellStart"/>
      <w:r>
        <w:rPr>
          <w:rFonts w:ascii="Arial" w:hAnsi="Arial" w:cs="Arial"/>
          <w:color w:val="18385A"/>
          <w:sz w:val="20"/>
          <w:szCs w:val="20"/>
        </w:rPr>
        <w:t>аффилированности</w:t>
      </w:r>
      <w:proofErr w:type="spellEnd"/>
      <w:r>
        <w:rPr>
          <w:rFonts w:ascii="Arial" w:hAnsi="Arial" w:cs="Arial"/>
          <w:color w:val="18385A"/>
          <w:sz w:val="20"/>
          <w:szCs w:val="20"/>
        </w:rPr>
        <w:t>) определяется в соответствии со статьей 4 Закона РСФСР от 22 марта 1991 года N 948-I "О конкуренции и ограничении монополистической деятельности на товарных рынках";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8) производство товаров, выполнение работ, оказание услуг с использованием инноваций и (или) локализация производства товаров, выполнения работ, оказания услуг на территории Российской Федерации.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3. Кроме требований, указанных в пунктах 1 - 8 части 2 настоящей статьи, заказчиком могут быть установлены дополнительные требования к участникам программ развития поставщиков (исполнителей, подрядчиков), обусловленные отраслевой спецификой деятельности заказчика и поставщика (исполнителя, подрядчика).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4. Юридическое лицо и индивидуальный предприниматель,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(исполнителей, подрядчиков), сохраняют право на оказание им поддержки до окончания срока действия индивидуальной карты развития субъекта малого или среднего предпринимательства.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5. В целях обеспечения реализации программ развития поставщиков (исполнителей, подрядчиков) Правительство Российской Федерации утверждает: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1) форму программы развития поставщиков (исполнителей, подрядчиков);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2) требования к порядку проведения отбора субъектов малого и среднего предпринимательства для участия в программах развития поставщиков (исполнителей, подрядчиков);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3) порядок проведения корпорацией развития малого и среднего предпринимательства мониторинга реализации программ развития поставщиков (исполнителей, подрядчиков), в том числе мониторинга хода реализации договоров, предусмотренных частью 12 настоящей статьи, и анализа эффективности их реализации, а также форму ежегодного отчета о результатах реализации программ развития поставщиков (исполнителей, подрядчиков);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4) порядок ведения корпорацией развития малого и среднего предпринимательства реестра программ развития поставщиков (исполнителей, подрядчиков) и реестра участников программ развития поставщиков (исполнителей, подрядчиков), не исполнивших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подрядчиков).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6. Подготовка и реализация заказчиком программы развития поставщиков (исполнителей, подрядчиков) состоят из следующих этапов: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1) разработка и утверждение заказчиком программы развития поставщиков (исполнителей, подрядчиков);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2) определение заказчиком видов товаров (работ, услуг) с указанием сведений о кодах по Общероссийскому классификатору продукции по видам экономической деятельности, в отношении которых может осуществляться реализация программы развития поставщиков (исполнителей, подрядчиков);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 xml:space="preserve">3) отбор субъектов малого и среднего предпринимательства для участия в программе развития поставщиков (исполнителей, подрядчиков) на основании оценки соответствия субъектов малого и </w:t>
      </w:r>
      <w:r>
        <w:rPr>
          <w:rFonts w:ascii="Arial" w:hAnsi="Arial" w:cs="Arial"/>
          <w:color w:val="18385A"/>
          <w:sz w:val="20"/>
          <w:szCs w:val="20"/>
        </w:rPr>
        <w:lastRenderedPageBreak/>
        <w:t>среднего предпринимательства основным требованиям, указанным в части 2 настоящей статьи, а также дополнительным требованиям, установленным в соответствии с частью 3 настоящей статьи заказчиком, утвердившим программу развития поставщиков (исполнителей, подрядчиков). Такая оценка соответствия может предусматривать определение организациями, образующими инфраструктуру поддержки субъектов малого и среднего предпринимательства, индекса технологической готовности - показателя, отражающего уровень готовности субъектов малого и среднего предпринимательства к внедрению новых технологий, модернизации, реконструкции и техническому перевооружению производства;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4) разработка и утверждение индивидуальных карт развития субъектов малого и среднего предпринимательства;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5) реализация мероприятий, предусмотренных индивидуальными картами развития субъектов малого и среднего предпринимательства.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7. Программа развития поставщиков (исполнителей, подрядчиков) должна содержать: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1) формы, объем и условия оказания поддержки участникам программы развития поставщиков (исполнителей, подрядчиков) в рамках реализации программы развития поставщиков (исполнителей, подрядчиков);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2) перечень мероприятий по оказанию поддержки участникам программы развития поставщиков (исполнителей, подрядчиков), в том числе финансовой, правовой, методической, информационной и иной поддержки, предусмотренной законодательством Российской Федерации. Такие меры поддержки могут быть реализованы заказчиком при участии корпорации развития малого и среднего предпринимательства и (или) организаций, образующих инфраструктуру поддержки субъектов малого и среднего предпринимательства, заинтересованных органов (организаций);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3) порядок проведения отбора субъектов малого и среднего предпринимательства для участия в программе развития поставщиков (исполнителей, подрядчиков), включающий в том числе основания для отказа в участии в программе развития поставщиков (исполнителей, подрядчиков) и порядок принятия решения о таком отказе;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4) основные требования к участникам программы развития поставщиков (исполнителей, подрядчиков), указанные в части 2 настоящей статьи, а также дополнительные требования к участникам программы развития поставщиков (исполнителей, подрядчиков), установленные в соответствии с частью 3 настоящей статьи заказчиком, утвердившим программу развития поставщиков (исполнителей, подрядчиков);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5) порядок реализации мероприятий, предусмотренных индивидуальными картами развития субъектов малого и среднего предпринимательства;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6) меры ответственности за нарушение условий реализации программы развития поставщиков (исполнителей, подрядчиков) участником программы развития поставщиков (исполнителей, подрядчиков), заказчиком, утвердившим и реализующим программу развития поставщиков (исполнителей, подрядчиков), корпорацией развития малого и среднего предпринимательства, организациями, образующими инфраструктуру поддержки субъектов малого и среднего предпринимательства, заинтересованными органами (организациями);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7) порядок взаимодействия заказчика, корпорации развития малого и среднего предпринимательства, организаций, образующих инфраструктуру поддержки субъектов малого и среднего предпринимательства, заинтересованных органов (организаций), участвующих в реализации программы развития поставщиков (исполнителей, подрядчиков), и участников программы развития поставщиков (исполнителей, подрядчиков);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8) виды товаров (работ, услуг) с указанием сведений о кодах по Общероссийскому классификатору продукции по видам экономической деятельности, в отношении которых осуществляется реализация программы развития поставщиков (исполнителей, подрядчиков);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9) порядок заключения соглашения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и реализации такого соглашения.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 xml:space="preserve">8.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информационно-телекоммуникационной сети "Интернет" и (или) на цифровой платформе с механизмом адресного подбора и </w:t>
      </w:r>
      <w:r>
        <w:rPr>
          <w:rFonts w:ascii="Arial" w:hAnsi="Arial" w:cs="Arial"/>
          <w:color w:val="18385A"/>
          <w:sz w:val="20"/>
          <w:szCs w:val="20"/>
        </w:rPr>
        <w:lastRenderedPageBreak/>
        <w:t xml:space="preserve">возможностью дистанционного получения мер поддержки и специальных сервисов субъектами малого и среднего предпринимательства и </w:t>
      </w:r>
      <w:proofErr w:type="spellStart"/>
      <w:r>
        <w:rPr>
          <w:rFonts w:ascii="Arial" w:hAnsi="Arial" w:cs="Arial"/>
          <w:color w:val="18385A"/>
          <w:sz w:val="20"/>
          <w:szCs w:val="20"/>
        </w:rPr>
        <w:t>самозанятыми</w:t>
      </w:r>
      <w:proofErr w:type="spellEnd"/>
      <w:r>
        <w:rPr>
          <w:rFonts w:ascii="Arial" w:hAnsi="Arial" w:cs="Arial"/>
          <w:color w:val="18385A"/>
          <w:sz w:val="20"/>
          <w:szCs w:val="20"/>
        </w:rPr>
        <w:t xml:space="preserve"> гражданами: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1) программу развития поставщиков (исполнителей, подрядчиков) - в срок не позднее десяти календарных дней со дня ее утверждения;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2) информацию о проведении отбора субъектов малого и среднего предпринимательства для участия в программе развития поставщиков (исполнителей, подрядчиков) с указанием предельного количества участников программы развития поставщиков (исполнителей, подрядчиков), определенного заказчиком, -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(исполнителей, подрядчиков);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3) результаты реализации программы развития поставщиков (исполнителей, подрядчиков) -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предпринимательства;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4) сведения об участниках программы развития поставщиков (исполнителей, подрядчиков), не исполнивших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- в срок не позднее тридцати календарных дней со дня окончания срока исполнения обязательств.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9. Заказчик вправе реализовать программу развития поставщиков (исполнителей, подрядчиков) в отношении субъектов малого и среднего предпринимательства, подавших заявки на участие в программе развития поставщиков (исполнителей, подрядчиков), без проведения отбора субъектов малого и среднего предпринимательства в случае, если количество поданных субъектами малого и среднего предпринимательства заявок на участие в программе развития поставщиков (исполнителей, подрядчиков) не превышает предельного количества участников программы развития поставщиков (исполнителей, подрядчиков), определенного заказчиком в соответствии с пунктом 2 части 8 настоящей статьи.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10. В случае, если участник программы развития поставщиков (исполнителей, подрядчиков) не исполнил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(исполнителей, подрядчиков) в реестр участников программ развития поставщиков (исполнителей, подрядчиков), не исполнивших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ведение которого осуществляет корпорация развития малого и среднего предпринимательства.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11. Формы, объем и условия оказания поддержки субъектам малого и среднего предпринимательства в рамках реализации программы развития поставщиков (исполнителей, подрядчиков)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(выполнении работ, оказании услуг) участником программы развития поставщиков (исполнителей, подрядчиков).</w:t>
      </w:r>
    </w:p>
    <w:p w:rsidR="0021303A" w:rsidRDefault="0021303A" w:rsidP="0021303A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12. В рамках реализации комплекса мер программы развития поставщиков (исполнителей, подрядчиков) между участником программы развития поставщиков (исполнителей, подрядчиков) и заказчиком, утвердившим такую программу, в соответствии с законодательством Российской Федерации может быть заключен договор на поставку товара, оказание услуги,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имущества, используемого для оказания такой услуги.</w:t>
      </w:r>
    </w:p>
    <w:p w:rsidR="0021303A" w:rsidRDefault="0021303A">
      <w:bookmarkStart w:id="0" w:name="_GoBack"/>
      <w:bookmarkEnd w:id="0"/>
    </w:p>
    <w:sectPr w:rsidR="0021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73"/>
    <w:rsid w:val="0021303A"/>
    <w:rsid w:val="003644F9"/>
    <w:rsid w:val="00403F73"/>
    <w:rsid w:val="004F176E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FC01"/>
  <w15:chartTrackingRefBased/>
  <w15:docId w15:val="{9881F834-462D-42EF-80A2-9529F9CE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2471</Words>
  <Characters>14085</Characters>
  <Application>Microsoft Office Word</Application>
  <DocSecurity>0</DocSecurity>
  <Lines>117</Lines>
  <Paragraphs>33</Paragraphs>
  <ScaleCrop>false</ScaleCrop>
  <Company/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2024-04-26T12:25:00Z</dcterms:created>
  <dcterms:modified xsi:type="dcterms:W3CDTF">2024-04-26T12:25:00Z</dcterms:modified>
</cp:coreProperties>
</file>