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2C" w:rsidRDefault="00C8302C" w:rsidP="00C8302C">
      <w:pPr>
        <w:jc w:val="center"/>
        <w:rPr>
          <w:b/>
        </w:rPr>
      </w:pPr>
      <w:r>
        <w:rPr>
          <w:b/>
        </w:rPr>
        <w:t>РОССИЙСКАЯ ФЕДЕРАЦИЯ</w:t>
      </w:r>
    </w:p>
    <w:p w:rsidR="00C8302C" w:rsidRDefault="00C8302C" w:rsidP="00C8302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8302C" w:rsidRDefault="00C8302C" w:rsidP="00C8302C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C8302C" w:rsidRDefault="00C8302C" w:rsidP="00C8302C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C8302C" w:rsidRDefault="00C8302C" w:rsidP="00C8302C">
      <w:pPr>
        <w:rPr>
          <w:b/>
        </w:rPr>
      </w:pPr>
    </w:p>
    <w:p w:rsidR="00C8302C" w:rsidRDefault="00C8302C" w:rsidP="00C8302C">
      <w:pPr>
        <w:jc w:val="center"/>
        <w:rPr>
          <w:b/>
        </w:rPr>
      </w:pPr>
      <w:r>
        <w:rPr>
          <w:b/>
        </w:rPr>
        <w:t>ПОСТАНОВЛЕНИЕ</w:t>
      </w:r>
    </w:p>
    <w:p w:rsidR="00C8302C" w:rsidRDefault="00C8302C" w:rsidP="00C8302C">
      <w:pPr>
        <w:rPr>
          <w:b/>
        </w:rPr>
      </w:pPr>
    </w:p>
    <w:p w:rsidR="00C8302C" w:rsidRDefault="00C8302C" w:rsidP="00C8302C">
      <w:pPr>
        <w:jc w:val="center"/>
        <w:rPr>
          <w:b/>
        </w:rPr>
      </w:pPr>
    </w:p>
    <w:p w:rsidR="00C8302C" w:rsidRDefault="00C8302C" w:rsidP="00C8302C">
      <w:pPr>
        <w:rPr>
          <w:sz w:val="28"/>
          <w:szCs w:val="28"/>
        </w:rPr>
      </w:pPr>
      <w:r>
        <w:rPr>
          <w:sz w:val="28"/>
          <w:szCs w:val="28"/>
        </w:rPr>
        <w:t xml:space="preserve">      28.03.2019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№19</w:t>
      </w:r>
    </w:p>
    <w:p w:rsidR="00C8302C" w:rsidRDefault="00C8302C" w:rsidP="00C8302C">
      <w:pPr>
        <w:rPr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28.11.2017 № 48 «Об утверждении  муниципальной  программы «Формирование современной городской среды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2018-2022 годы»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</w:p>
    <w:p w:rsidR="00C8302C" w:rsidRDefault="00C8302C" w:rsidP="00C8302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Карачаево-Черкесской</w:t>
      </w:r>
      <w:proofErr w:type="gramEnd"/>
      <w:r>
        <w:rPr>
          <w:sz w:val="28"/>
          <w:szCs w:val="28"/>
        </w:rPr>
        <w:t xml:space="preserve"> Республики от 28.02.2013 № 61 «Об утверждении порядка разработки, реализации и оценки эффективности государственных программ Карачаево-Черкесской </w:t>
      </w:r>
      <w:proofErr w:type="spellStart"/>
      <w:proofErr w:type="gramStart"/>
      <w:r>
        <w:rPr>
          <w:sz w:val="28"/>
          <w:szCs w:val="28"/>
        </w:rPr>
        <w:t>Респуб-лики</w:t>
      </w:r>
      <w:proofErr w:type="spellEnd"/>
      <w:proofErr w:type="gramEnd"/>
      <w:r>
        <w:rPr>
          <w:sz w:val="28"/>
          <w:szCs w:val="28"/>
        </w:rPr>
        <w:t xml:space="preserve">»   </w:t>
      </w:r>
    </w:p>
    <w:p w:rsidR="00C8302C" w:rsidRDefault="00C8302C" w:rsidP="00C8302C">
      <w:pPr>
        <w:jc w:val="both"/>
        <w:rPr>
          <w:sz w:val="28"/>
          <w:szCs w:val="28"/>
        </w:rPr>
      </w:pPr>
    </w:p>
    <w:p w:rsidR="00C8302C" w:rsidRDefault="00C8302C" w:rsidP="00C830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Внести в приложение к постановлению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28.11.2017 № 48 «Об утверждении  муниципальной  </w:t>
      </w:r>
      <w:r>
        <w:rPr>
          <w:sz w:val="28"/>
          <w:szCs w:val="28"/>
        </w:rPr>
        <w:lastRenderedPageBreak/>
        <w:t xml:space="preserve">программы «Формирование современной городской среды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2018-2022 годы»  (в редакции постановления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от  </w:t>
      </w:r>
      <w:r>
        <w:rPr>
          <w:color w:val="000000" w:themeColor="text1"/>
          <w:sz w:val="28"/>
          <w:szCs w:val="28"/>
        </w:rPr>
        <w:t>12.03.2018 № 0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(далее - Программа) следующие изменения:</w:t>
      </w:r>
    </w:p>
    <w:p w:rsidR="00C8302C" w:rsidRDefault="00C8302C" w:rsidP="00C8302C">
      <w:pPr>
        <w:pStyle w:val="ac"/>
        <w:shd w:val="clear" w:color="auto" w:fill="FFFFFF"/>
        <w:ind w:left="142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proofErr w:type="gramStart"/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 xml:space="preserve"> название Программы и далее везде по тексту исключить слова «на 2018-2022 годы»</w:t>
      </w:r>
    </w:p>
    <w:p w:rsidR="00C8302C" w:rsidRPr="00011B8A" w:rsidRDefault="00C8302C" w:rsidP="00C8302C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11B8A">
        <w:rPr>
          <w:sz w:val="28"/>
          <w:szCs w:val="28"/>
        </w:rPr>
        <w:t>В паспорт Программы внести следующие изменения: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2.1. «Целевые индикаторы и показатели   Программы» изложить в следующей редакции</w:t>
      </w:r>
    </w:p>
    <w:p w:rsidR="00C8302C" w:rsidRDefault="00C8302C" w:rsidP="00C8302C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6860"/>
      </w:tblGrid>
      <w:tr w:rsidR="00C8302C" w:rsidTr="000B52B6">
        <w:trPr>
          <w:trHeight w:val="95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 Программы</w:t>
            </w:r>
          </w:p>
          <w:p w:rsidR="00C8302C" w:rsidRDefault="00C8302C" w:rsidP="000B52B6">
            <w:pPr>
              <w:shd w:val="clear" w:color="auto" w:fill="FFFFFF"/>
              <w:ind w:left="-38"/>
              <w:jc w:val="both"/>
              <w:rPr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Реализация  поселением, мероприятий  программы формирования современной городской среды    предусматривающих: </w:t>
            </w:r>
          </w:p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количество реализованных проектов благоустройства общественных территорий сельского поселения,   подлежащих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благоустройствуне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позднее последнего года реализации проекта накопительным итогом начиная с 2019г. –   4 единиц, в том числе в отчетном году- 1 ед.;</w:t>
            </w:r>
          </w:p>
          <w:p w:rsidR="00C8302C" w:rsidRDefault="00C8302C" w:rsidP="000B52B6">
            <w:pPr>
              <w:pStyle w:val="a8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площадь благоустроенных общественных территорий поселения, нуждающихся в благоустройстве до конца реализации   проекта - 4500кв.м., в том числе в отчетном году –  0,0 кв.м.;</w:t>
            </w:r>
          </w:p>
          <w:p w:rsidR="00C8302C" w:rsidRDefault="00C8302C" w:rsidP="000B52B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 доля площади благоустроенных общественных территорий 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общей площади общественных территорий  поселения не позднее последнего года реализации  проекта  - 50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C8302C" w:rsidRDefault="00C8302C" w:rsidP="000B52B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  доля финансового участия заинтересованных лиц в выполнении дополнительного перечня работ по благоустройству  общественных территорий - 20%;</w:t>
            </w:r>
          </w:p>
          <w:p w:rsidR="00C8302C" w:rsidRDefault="00C8302C" w:rsidP="000B52B6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- доля трудового участия заинтересованных лиц в выполнении дополнительного перечня работ по благоустройству  общественных  территорий - 20%;</w:t>
            </w:r>
          </w:p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-  доля благоустроенных индивидуальных жилых домов и земельных участков, предоставленных для их размещения, находящихся в собственности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физических лиц, которые подлежат благоустройству  не позднее последнего года реализации федерального проекта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благоустройства, утвержденных в муниципальном образовании - 100%;</w:t>
            </w:r>
            <w:proofErr w:type="gramEnd"/>
          </w:p>
          <w:p w:rsidR="00C8302C" w:rsidRDefault="00C8302C" w:rsidP="000B52B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 доля комплексного благоустройства всех  общественных территорий подлежащих благоустройству в отчетном году с учетом необходимости обеспечения физической, пространственной и информационной доступности для инвалидов и других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групп населения  -100% .</w:t>
            </w:r>
          </w:p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 проекта «Формирование комфортной городской среды»:</w:t>
            </w:r>
          </w:p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доля комплексного благоустройства всех   общественных территорий подлежащих благоустройству в отчетном году с учетом необходимости обеспечения физической, пространственной и информационной доступности для инвалидов и других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групп населения  -100%  </w:t>
            </w:r>
          </w:p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 поселении -  10 %;</w:t>
            </w:r>
          </w:p>
          <w:p w:rsidR="00C8302C" w:rsidRDefault="00C8302C" w:rsidP="000B52B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 реализованы мероприятия по благоустройству, предусмотренные муниципальной программой  формирование современной городской среды (количество обустроенных общественных пространств), накопительным итогом начиная с 2019 года  - 4 единиц.                                                                     </w:t>
            </w:r>
          </w:p>
        </w:tc>
      </w:tr>
    </w:tbl>
    <w:p w:rsidR="00C8302C" w:rsidRDefault="00C8302C" w:rsidP="00C8302C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«</w:t>
      </w:r>
    </w:p>
    <w:p w:rsidR="00C8302C" w:rsidRDefault="00C8302C" w:rsidP="00C8302C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  Раздел  </w:t>
      </w:r>
      <w:r>
        <w:rPr>
          <w:rFonts w:ascii="Times New Roman" w:eastAsiaTheme="minorEastAsia" w:hAnsi="Times New Roman" w:cs="Times New Roman"/>
          <w:sz w:val="28"/>
          <w:szCs w:val="28"/>
        </w:rPr>
        <w:t>«Сроки  и этапы реализации Программы» изложить в следующей редакции: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5"/>
        <w:gridCol w:w="4710"/>
      </w:tblGrid>
      <w:tr w:rsidR="00C8302C" w:rsidTr="000B52B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и этапы реализации Программы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не позднее последнего года реализации федерального проекта «Формирование комфортной </w:t>
            </w:r>
            <w:r>
              <w:rPr>
                <w:sz w:val="28"/>
                <w:szCs w:val="28"/>
              </w:rPr>
              <w:t>городской среды»</w:t>
            </w:r>
          </w:p>
        </w:tc>
      </w:tr>
    </w:tbl>
    <w:p w:rsidR="00C8302C" w:rsidRDefault="00C8302C" w:rsidP="00C8302C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»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2.3. Раздел «Объем и источники финансирования  обеспечения программы» изложить в следующей редакции: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6358"/>
      </w:tblGrid>
      <w:tr w:rsidR="00C8302C" w:rsidTr="000B52B6">
        <w:trPr>
          <w:trHeight w:val="95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shd w:val="clear" w:color="auto" w:fill="FFFFFF"/>
              <w:rPr>
                <w:rFonts w:ascii="Calibri" w:hAnsi="Calibri"/>
              </w:rPr>
            </w:pPr>
          </w:p>
          <w:p w:rsidR="00C8302C" w:rsidRDefault="00C8302C" w:rsidP="000B52B6">
            <w:pPr>
              <w:shd w:val="clear" w:color="auto" w:fill="FFFFFF"/>
              <w:ind w:lef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обеспечения программы</w:t>
            </w:r>
          </w:p>
          <w:p w:rsidR="00C8302C" w:rsidRDefault="00C8302C" w:rsidP="000B52B6">
            <w:pPr>
              <w:shd w:val="clear" w:color="auto" w:fill="FFFFFF"/>
              <w:ind w:left="-38"/>
              <w:jc w:val="both"/>
              <w:rPr>
                <w:sz w:val="28"/>
                <w:szCs w:val="28"/>
              </w:rPr>
            </w:pPr>
          </w:p>
          <w:p w:rsidR="00C8302C" w:rsidRDefault="00C8302C" w:rsidP="000B52B6">
            <w:pPr>
              <w:shd w:val="clear" w:color="auto" w:fill="FFFFFF"/>
              <w:ind w:left="-38"/>
              <w:jc w:val="both"/>
              <w:rPr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Общий объем финансирования   программы за счет всех источников составит 5598.16тыс. рублей, в том числе: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планируемых к привлечению из федерального бюджета (по согласованию)–     тыс. рублей, в том числе по годам: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  393,6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0,0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 1301,14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1301,14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1301,14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1301,14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республиканского бюджета 111</w:t>
            </w:r>
            <w:r w:rsidRPr="00515234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>7тыс. рублей, в том числе по годам: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>
              <w:rPr>
                <w:color w:val="000000" w:themeColor="text1"/>
                <w:sz w:val="28"/>
                <w:szCs w:val="28"/>
              </w:rPr>
              <w:t xml:space="preserve">  8,20 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0,0  тыс. рублей 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сельского поселения  муниципальных образований 111.97  тыс. рублей, в том числе по годам: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8,2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 0,0  тыс. рублей 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- 25,94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 325,94 8,55 тыс. рублей</w:t>
            </w: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8302C" w:rsidRDefault="00C8302C" w:rsidP="000B52B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8302C" w:rsidRDefault="00C8302C" w:rsidP="00C8302C">
      <w:pPr>
        <w:pStyle w:val="ConsPlusTitle"/>
        <w:jc w:val="both"/>
        <w:outlineLvl w:val="1"/>
        <w:rPr>
          <w:b w:val="0"/>
          <w:lang w:eastAsia="ru-RU"/>
        </w:rPr>
      </w:pPr>
      <w:r>
        <w:rPr>
          <w:b w:val="0"/>
          <w:lang w:eastAsia="ru-RU"/>
        </w:rPr>
        <w:lastRenderedPageBreak/>
        <w:t xml:space="preserve">  ».</w:t>
      </w:r>
    </w:p>
    <w:p w:rsidR="00C8302C" w:rsidRDefault="00C8302C" w:rsidP="00C8302C">
      <w:pPr>
        <w:pStyle w:val="ConsPlusTitle"/>
        <w:numPr>
          <w:ilvl w:val="1"/>
          <w:numId w:val="15"/>
        </w:numPr>
        <w:autoSpaceDN w:val="0"/>
        <w:adjustRightInd w:val="0"/>
        <w:ind w:left="0" w:firstLine="0"/>
        <w:jc w:val="both"/>
        <w:outlineLvl w:val="1"/>
        <w:rPr>
          <w:rFonts w:eastAsiaTheme="minorEastAsia"/>
          <w:lang w:eastAsia="ru-RU"/>
        </w:rPr>
      </w:pPr>
      <w:r>
        <w:rPr>
          <w:rFonts w:eastAsiaTheme="minorEastAsia"/>
          <w:b w:val="0"/>
          <w:lang w:eastAsia="ru-RU"/>
        </w:rPr>
        <w:t>Раздел 3«Сроки реализации   программы</w:t>
      </w:r>
      <w:r>
        <w:rPr>
          <w:rFonts w:eastAsiaTheme="minorEastAsia"/>
          <w:lang w:eastAsia="ru-RU"/>
        </w:rPr>
        <w:t xml:space="preserve">» </w:t>
      </w:r>
      <w:r>
        <w:rPr>
          <w:rFonts w:eastAsiaTheme="minorEastAsia"/>
          <w:b w:val="0"/>
          <w:lang w:eastAsia="ru-RU"/>
        </w:rPr>
        <w:t xml:space="preserve"> изложить в следующей редакции: </w:t>
      </w:r>
      <w:r>
        <w:rPr>
          <w:rFonts w:eastAsiaTheme="minorEastAsia"/>
          <w:lang w:eastAsia="ru-RU"/>
        </w:rPr>
        <w:t>«</w:t>
      </w:r>
      <w:r>
        <w:rPr>
          <w:rFonts w:eastAsiaTheme="minorEastAsia"/>
          <w:b w:val="0"/>
          <w:lang w:eastAsia="ru-RU"/>
        </w:rPr>
        <w:t>3. Сроки реализации   программы</w:t>
      </w:r>
      <w:r>
        <w:rPr>
          <w:rFonts w:eastAsiaTheme="minorEastAsia"/>
          <w:lang w:eastAsia="ru-RU"/>
        </w:rPr>
        <w:t>.</w:t>
      </w:r>
    </w:p>
    <w:p w:rsidR="00C8302C" w:rsidRDefault="00C8302C" w:rsidP="00C8302C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позднее последнего года реализации федерального проекта «Формирование комфортной городской среды».</w:t>
      </w:r>
    </w:p>
    <w:p w:rsidR="00C8302C" w:rsidRDefault="00C8302C" w:rsidP="00C8302C">
      <w:pPr>
        <w:pStyle w:val="a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2.4.  Раздел 5.1.  «Привлечение  жителей к участию в решении проблем благоустройства», дополнить  абзацем следующего содержания: </w:t>
      </w:r>
    </w:p>
    <w:p w:rsidR="00C8302C" w:rsidRDefault="00C8302C" w:rsidP="00C83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Реализация мероприятий муниципальной программы является одним из условий предоставления субсидии из федерального бюджета бюджетам субъектов Российской Федерации на развитие городской среды, что обеспечивает реализацию мероприятий по созданию на территории </w:t>
      </w:r>
      <w:proofErr w:type="spellStart"/>
      <w:r>
        <w:rPr>
          <w:sz w:val="28"/>
          <w:szCs w:val="28"/>
        </w:rPr>
        <w:t>Эльтаркачскогосельского</w:t>
      </w:r>
      <w:proofErr w:type="spellEnd"/>
      <w:r>
        <w:rPr>
          <w:sz w:val="28"/>
          <w:szCs w:val="28"/>
        </w:rPr>
        <w:t xml:space="preserve"> поселения  условий для привлечения добровольцев (волонтеров) к участию в реализации мероприятий по благоустройству  общественных территорий»</w:t>
      </w:r>
    </w:p>
    <w:p w:rsidR="00C8302C" w:rsidRDefault="00C8302C" w:rsidP="00C8302C">
      <w:pPr>
        <w:pStyle w:val="a8"/>
        <w:jc w:val="both"/>
        <w:rPr>
          <w:rFonts w:eastAsiaTheme="minorHAnsi"/>
          <w:sz w:val="28"/>
          <w:szCs w:val="28"/>
        </w:rPr>
      </w:pPr>
    </w:p>
    <w:p w:rsidR="00C8302C" w:rsidRDefault="00C8302C" w:rsidP="00C830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Раздел 6  «Объемы средств, необходимый на реализацию программы за счет всех источников финансирования на каждый год реализации программы»    изложить в следующей редакции: </w:t>
      </w:r>
    </w:p>
    <w:p w:rsidR="00C8302C" w:rsidRDefault="00C8302C" w:rsidP="00C830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Источником финансирования мероприятий  Программы являются средства федерального бюджета (по согласованию), республиканского бюджета, бюджета сельского поселения, иные средства.  </w:t>
      </w:r>
    </w:p>
    <w:p w:rsidR="00C8302C" w:rsidRDefault="00C8302C" w:rsidP="00C8302C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Общий объем финансирования   программы за счет всех источников составит 5598.16тыс. рублей, в том числе: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средств, планируемых к привлечению из федерального бюджета (по согласованию)–     тыс. рублей, в том числе по годам: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2018 год -     393,6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2019 год –    0,0 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2020 год –   1301,14 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2021 год -   1301,14 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2022 год -   1301,14 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2023 год -   1301,14 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республиканского бюджета 111</w:t>
      </w:r>
      <w:r w:rsidRPr="00515234">
        <w:rPr>
          <w:sz w:val="28"/>
          <w:szCs w:val="28"/>
        </w:rPr>
        <w:t>,9</w:t>
      </w:r>
      <w:r>
        <w:rPr>
          <w:sz w:val="28"/>
          <w:szCs w:val="28"/>
        </w:rPr>
        <w:t>7тыс. рублей, в том числе по годам: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</w:t>
      </w:r>
      <w:r>
        <w:rPr>
          <w:color w:val="000000" w:themeColor="text1"/>
          <w:sz w:val="28"/>
          <w:szCs w:val="28"/>
        </w:rPr>
        <w:t xml:space="preserve">  8,20 </w:t>
      </w:r>
      <w:r>
        <w:rPr>
          <w:sz w:val="28"/>
          <w:szCs w:val="28"/>
        </w:rPr>
        <w:t xml:space="preserve">  тыс. рублей</w:t>
      </w:r>
    </w:p>
    <w:p w:rsidR="00C8302C" w:rsidRDefault="00C8302C" w:rsidP="00C8302C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2019 год –  0,0  тыс. рублей 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2020 год –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2021 год -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2022 год -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2023 год - 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бюджета сельского поселения  муниципальных образований 111.97  тыс. рублей, в том числе по годам: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2018 год -  8,2 тыс. рублей</w:t>
      </w:r>
    </w:p>
    <w:p w:rsidR="00C8302C" w:rsidRDefault="00C8302C" w:rsidP="00C8302C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2019 год –  0,0  тыс. рублей 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2020 год –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2021 год -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2022 год -  25,94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2023 год -   325,94 8,55 тыс. рублей</w:t>
      </w: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C8302C" w:rsidRDefault="00C8302C" w:rsidP="00C8302C">
      <w:pPr>
        <w:pStyle w:val="a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2.6. Раздел 6.1.  «Объемы финансирования реализации программы по годам» изложить в следующей редакции: «Сведения о ресурсном обеспечении реализации мероприятий представлены в </w:t>
      </w:r>
      <w:r>
        <w:rPr>
          <w:color w:val="000000" w:themeColor="text1"/>
          <w:sz w:val="28"/>
          <w:szCs w:val="28"/>
        </w:rPr>
        <w:t xml:space="preserve">приложении №2/2 </w:t>
      </w:r>
      <w:r>
        <w:rPr>
          <w:sz w:val="28"/>
          <w:szCs w:val="28"/>
        </w:rPr>
        <w:t>к  муниципальной программе».</w:t>
      </w:r>
    </w:p>
    <w:p w:rsidR="00C8302C" w:rsidRDefault="00C8302C" w:rsidP="00C830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2.7. п.3 Раздела 8 «Форма и доля трудового (финансового) участия  заинтересованных лиц в реализации мероприятий по благоустройству  общественных территорий» изложить в следующей редакции:</w:t>
      </w:r>
    </w:p>
    <w:p w:rsidR="00C8302C" w:rsidRDefault="00C8302C" w:rsidP="00C8302C">
      <w:pPr>
        <w:pStyle w:val="a8"/>
        <w:rPr>
          <w:sz w:val="28"/>
          <w:szCs w:val="28"/>
        </w:rPr>
      </w:pPr>
      <w:r>
        <w:rPr>
          <w:sz w:val="28"/>
          <w:szCs w:val="28"/>
        </w:rPr>
        <w:t>«3. Устанавливается минимальная доля участия заинтересованных лиц в выполнении минимального и (или) дополнительного перечней работ по благоустройству  общественных территории:</w:t>
      </w:r>
    </w:p>
    <w:p w:rsidR="00C8302C" w:rsidRDefault="00C8302C" w:rsidP="00C8302C">
      <w:pPr>
        <w:pStyle w:val="a8"/>
        <w:rPr>
          <w:sz w:val="28"/>
          <w:szCs w:val="28"/>
        </w:rPr>
      </w:pPr>
    </w:p>
    <w:p w:rsidR="00C8302C" w:rsidRDefault="00C8302C" w:rsidP="00C8302C">
      <w:pPr>
        <w:pStyle w:val="a8"/>
        <w:rPr>
          <w:sz w:val="28"/>
          <w:szCs w:val="28"/>
        </w:rPr>
      </w:pPr>
      <w:r>
        <w:rPr>
          <w:sz w:val="28"/>
          <w:szCs w:val="28"/>
        </w:rPr>
        <w:t>- финансового участия в размере не менее 20% от общей стоимости работ, утвержденных проектом;</w:t>
      </w:r>
    </w:p>
    <w:p w:rsidR="00C8302C" w:rsidRDefault="00C8302C" w:rsidP="00C8302C">
      <w:pPr>
        <w:pStyle w:val="a8"/>
        <w:rPr>
          <w:sz w:val="28"/>
          <w:szCs w:val="28"/>
        </w:rPr>
      </w:pPr>
    </w:p>
    <w:p w:rsidR="00C8302C" w:rsidRDefault="00C8302C" w:rsidP="00C8302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доля трудового участия составляет не менее 20 % от количества жителей  поселения.   </w:t>
      </w:r>
    </w:p>
    <w:p w:rsidR="00C8302C" w:rsidRDefault="00C8302C" w:rsidP="00C830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2.8. Приложение 1 к  муниципальной программе  изложить в редакции согласно приложению 1 к настоящему постановлению.</w:t>
      </w:r>
    </w:p>
    <w:p w:rsidR="00C8302C" w:rsidRDefault="00C8302C" w:rsidP="00C8302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2.9.  Приложение 2к  муниципальной программе  изложить в редакции согласно приложению 2 к настоящему постановлению.</w:t>
      </w: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2.10. Добавить программу приложениями:   № 2/1; 2/2;2/3 </w:t>
      </w: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color w:val="000000" w:themeColor="text1"/>
          <w:sz w:val="28"/>
          <w:szCs w:val="28"/>
        </w:rPr>
        <w:t>Джегутинская</w:t>
      </w:r>
      <w:proofErr w:type="spellEnd"/>
      <w:r>
        <w:rPr>
          <w:color w:val="000000" w:themeColor="text1"/>
          <w:sz w:val="28"/>
          <w:szCs w:val="28"/>
        </w:rPr>
        <w:t xml:space="preserve"> неделя» и подлежит обязательному размещению на официальном сайте администрации. </w:t>
      </w: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оставляю за собой.</w:t>
      </w: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</w:p>
    <w:p w:rsidR="00C8302C" w:rsidRDefault="00C8302C" w:rsidP="00C8302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8302C" w:rsidRDefault="00C8302C" w:rsidP="00C8302C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</w:p>
    <w:p w:rsidR="00C8302C" w:rsidRDefault="00C8302C" w:rsidP="00C8302C">
      <w:pPr>
        <w:pStyle w:val="a8"/>
        <w:jc w:val="both"/>
        <w:rPr>
          <w:color w:val="000000" w:themeColor="text1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8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rPr>
          <w:color w:val="FF0000"/>
          <w:sz w:val="28"/>
          <w:szCs w:val="28"/>
        </w:rPr>
        <w:sectPr w:rsidR="00C8302C">
          <w:pgSz w:w="11906" w:h="16838"/>
          <w:pgMar w:top="1134" w:right="850" w:bottom="1134" w:left="1701" w:header="708" w:footer="708" w:gutter="0"/>
          <w:cols w:space="720"/>
        </w:sectPr>
      </w:pPr>
    </w:p>
    <w:p w:rsidR="00C8302C" w:rsidRDefault="00C8302C" w:rsidP="00C8302C">
      <w:pPr>
        <w:ind w:left="864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1  </w:t>
      </w:r>
    </w:p>
    <w:p w:rsidR="00C8302C" w:rsidRDefault="00C8302C" w:rsidP="00C8302C">
      <w:pPr>
        <w:jc w:val="center"/>
        <w:rPr>
          <w:sz w:val="27"/>
          <w:szCs w:val="27"/>
        </w:rPr>
      </w:pP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СВЕДЕНИЯ</w:t>
      </w: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составе и значениях целевых показателей  муниципальной программы  </w:t>
      </w:r>
    </w:p>
    <w:p w:rsidR="00C8302C" w:rsidRDefault="00C8302C" w:rsidP="00C8302C">
      <w:pPr>
        <w:ind w:left="-426"/>
        <w:jc w:val="both"/>
      </w:pPr>
      <w:r>
        <w:t xml:space="preserve">Наименование  муниципальной  программы - «Формирование комфортной городской среды в  </w:t>
      </w:r>
      <w:proofErr w:type="spellStart"/>
      <w:r>
        <w:t>Эльтаркачском</w:t>
      </w:r>
      <w:proofErr w:type="spellEnd"/>
      <w:r>
        <w:t xml:space="preserve"> сельском поселении»</w:t>
      </w:r>
    </w:p>
    <w:p w:rsidR="00C8302C" w:rsidRDefault="00C8302C" w:rsidP="00C8302C">
      <w:pPr>
        <w:ind w:left="-426"/>
        <w:jc w:val="both"/>
      </w:pPr>
      <w:r>
        <w:t xml:space="preserve">Ответственный исполнитель -  администрация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6954"/>
        <w:gridCol w:w="852"/>
        <w:gridCol w:w="1008"/>
        <w:gridCol w:w="992"/>
        <w:gridCol w:w="992"/>
        <w:gridCol w:w="992"/>
        <w:gridCol w:w="820"/>
        <w:gridCol w:w="1023"/>
      </w:tblGrid>
      <w:tr w:rsidR="00C8302C" w:rsidTr="000B52B6">
        <w:trPr>
          <w:gridAfter w:val="6"/>
          <w:wAfter w:w="5827" w:type="dxa"/>
          <w:trHeight w:val="509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№</w:t>
            </w:r>
          </w:p>
          <w:p w:rsidR="00C8302C" w:rsidRDefault="00C8302C" w:rsidP="000B52B6">
            <w:pPr>
              <w:ind w:left="-79" w:right="-112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 xml:space="preserve">Единица </w:t>
            </w:r>
          </w:p>
          <w:p w:rsidR="00C8302C" w:rsidRDefault="00C8302C" w:rsidP="000B52B6">
            <w:pPr>
              <w:jc w:val="center"/>
            </w:pPr>
            <w:r>
              <w:t>измерения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2018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2019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2020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2021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2022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2023</w:t>
            </w:r>
          </w:p>
          <w:p w:rsidR="00C8302C" w:rsidRDefault="00C8302C" w:rsidP="000B52B6">
            <w:pPr>
              <w:jc w:val="center"/>
            </w:pPr>
            <w:r>
              <w:t>год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11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Количество реализованных проектов благоустройства общественных территорий   подлежащих благоустройству не позднее последнего года реализации федерального проекта накопительным итогом начиная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 xml:space="preserve"> с 2019г. –  4 единиц, в том числе, количество реализованных в текущем  году проектов обустройства мест массового отдыха населений (городских парков) - 0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благоустроенных общественных территорий   нуждающихся в благоустройстве до конца реализации федерального проекта –  4500кв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 xml:space="preserve"> , в том числе в отчетном году -  0,0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1125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1125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1125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площади благоустроенных общественных территорий к </w:t>
            </w:r>
            <w:proofErr w:type="gramStart"/>
            <w:r>
              <w:rPr>
                <w:color w:val="000000" w:themeColor="text1"/>
              </w:rPr>
              <w:t>общей площади общественных территорий муниципального образования не позднее последнего года реализации федерального проекта  - 50</w:t>
            </w:r>
            <w:proofErr w:type="gramEnd"/>
            <w:r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 xml:space="preserve"> 50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-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 трудового участия   заинтересованных лиц в выполнении дополнительного перечня работ по благоустройству общественных территорий  20% 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20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благоустроенных индивидуальных жилых домов и земельных участков, предоставленных для их размещения, находящихся в собственности физических лиц благоустроенных не позднее последнего года реализации федерального проекта 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благоустройства, утвержденных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комплексного благоустройства всех дворовых и общественных </w:t>
            </w:r>
            <w:r>
              <w:rPr>
                <w:color w:val="000000" w:themeColor="text1"/>
              </w:rPr>
              <w:lastRenderedPageBreak/>
              <w:t xml:space="preserve">территорий подлежащих благоустройству в отчетном году с учетом необходимости обеспечения физической, пространственной и информационной доступности для инвалидов и других </w:t>
            </w:r>
            <w:proofErr w:type="spellStart"/>
            <w:r>
              <w:rPr>
                <w:color w:val="000000" w:themeColor="text1"/>
              </w:rPr>
              <w:t>маломобильных</w:t>
            </w:r>
            <w:proofErr w:type="spellEnd"/>
            <w:r>
              <w:rPr>
                <w:color w:val="000000" w:themeColor="text1"/>
              </w:rPr>
              <w:t xml:space="preserve"> групп населения  </w:t>
            </w:r>
            <w:proofErr w:type="gramStart"/>
            <w:r>
              <w:rPr>
                <w:color w:val="000000" w:themeColor="text1"/>
              </w:rPr>
              <w:t>-е</w:t>
            </w:r>
            <w:proofErr w:type="gramEnd"/>
            <w:r>
              <w:rPr>
                <w:color w:val="000000" w:themeColor="text1"/>
              </w:rPr>
              <w:t xml:space="preserve">жегодно 100%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%.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79" w:right="-112"/>
              <w:jc w:val="center"/>
            </w:pPr>
            <w:r>
              <w:lastRenderedPageBreak/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-  30 %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C8302C" w:rsidTr="000B52B6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C" w:rsidRDefault="00C8302C" w:rsidP="000B52B6">
            <w:pPr>
              <w:ind w:left="-79" w:right="-112"/>
              <w:jc w:val="center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center"/>
            </w:pPr>
          </w:p>
        </w:tc>
      </w:tr>
    </w:tbl>
    <w:p w:rsidR="00C8302C" w:rsidRDefault="00C8302C" w:rsidP="00C8302C">
      <w:pPr>
        <w:pStyle w:val="ac"/>
        <w:shd w:val="clear" w:color="auto" w:fill="FFFFFF"/>
        <w:ind w:left="0"/>
        <w:jc w:val="right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Приложение №2 </w:t>
      </w:r>
    </w:p>
    <w:p w:rsidR="00C8302C" w:rsidRDefault="00C8302C" w:rsidP="00C8302C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Е Р Е Ч Е Н Ь</w:t>
      </w: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основных мероприятий  муниципальной программы </w:t>
      </w:r>
    </w:p>
    <w:p w:rsidR="00C8302C" w:rsidRDefault="00C8302C" w:rsidP="00C8302C">
      <w:pPr>
        <w:ind w:left="-426"/>
        <w:jc w:val="both"/>
      </w:pPr>
      <w:r>
        <w:t xml:space="preserve">Наименование  муниципальной  программы - «Формирование комфортной городской среды в  </w:t>
      </w:r>
      <w:proofErr w:type="spellStart"/>
      <w:r>
        <w:t>Эльтаркачском</w:t>
      </w:r>
      <w:proofErr w:type="spellEnd"/>
      <w:r>
        <w:t xml:space="preserve"> сельском поселении»</w:t>
      </w:r>
    </w:p>
    <w:p w:rsidR="00C8302C" w:rsidRDefault="00C8302C" w:rsidP="00C8302C">
      <w:pPr>
        <w:ind w:left="-426"/>
        <w:jc w:val="both"/>
      </w:pPr>
      <w:r>
        <w:t xml:space="preserve">Ответственный исполнитель -  администрация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843"/>
        <w:gridCol w:w="992"/>
        <w:gridCol w:w="992"/>
        <w:gridCol w:w="2835"/>
        <w:gridCol w:w="2410"/>
        <w:gridCol w:w="3544"/>
      </w:tblGrid>
      <w:tr w:rsidR="00C8302C" w:rsidTr="000B52B6">
        <w:trPr>
          <w:trHeight w:val="5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Наименование</w:t>
            </w:r>
          </w:p>
          <w:p w:rsidR="00C8302C" w:rsidRDefault="00C8302C" w:rsidP="000B52B6">
            <w:pPr>
              <w:jc w:val="center"/>
            </w:pPr>
            <w:r>
              <w:t xml:space="preserve">основного мероприятия, </w:t>
            </w:r>
          </w:p>
          <w:p w:rsidR="00C8302C" w:rsidRDefault="00C8302C" w:rsidP="000B52B6">
            <w:pPr>
              <w:jc w:val="center"/>
              <w:rPr>
                <w:b/>
              </w:rPr>
            </w:pPr>
            <w: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108" w:right="-108"/>
              <w:jc w:val="center"/>
            </w:pPr>
            <w:r>
              <w:t>Ответственный</w:t>
            </w:r>
          </w:p>
          <w:p w:rsidR="00C8302C" w:rsidRDefault="00C8302C" w:rsidP="000B52B6">
            <w:pPr>
              <w:jc w:val="center"/>
              <w:rPr>
                <w:b/>
              </w:rPr>
            </w:pPr>
            <w:r>
              <w:t>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  <w:rPr>
                <w:b/>
              </w:rPr>
            </w:pPr>
            <w: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Ожидаемый непосредственный результат</w:t>
            </w:r>
          </w:p>
          <w:p w:rsidR="00C8302C" w:rsidRDefault="00C8302C" w:rsidP="000B52B6">
            <w:pPr>
              <w:jc w:val="center"/>
              <w:rPr>
                <w:b/>
              </w:rPr>
            </w:pPr>
            <w: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  <w:rPr>
                <w:b/>
              </w:rPr>
            </w:pPr>
            <w: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Целевой показатель</w:t>
            </w:r>
          </w:p>
          <w:p w:rsidR="00C8302C" w:rsidRDefault="00C8302C" w:rsidP="000B52B6">
            <w:pPr>
              <w:jc w:val="center"/>
              <w:rPr>
                <w:b/>
              </w:rPr>
            </w:pPr>
            <w:r>
              <w:t>основного мероприятия</w:t>
            </w:r>
          </w:p>
        </w:tc>
      </w:tr>
      <w:tr w:rsidR="00C8302C" w:rsidTr="000B52B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108" w:right="-108"/>
              <w:jc w:val="center"/>
            </w:pPr>
            <w:r>
              <w:t>начала</w:t>
            </w:r>
          </w:p>
          <w:p w:rsidR="00C8302C" w:rsidRDefault="00C8302C" w:rsidP="000B52B6">
            <w:pPr>
              <w:ind w:left="-108" w:right="-108"/>
              <w:jc w:val="center"/>
              <w:rPr>
                <w:b/>
              </w:rPr>
            </w:pPr>
            <w:r>
              <w:t>реализац</w:t>
            </w:r>
            <w:r>
              <w:lastRenderedPageBreak/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  <w:rPr>
                <w:b/>
              </w:rPr>
            </w:pPr>
            <w:r>
              <w:lastRenderedPageBreak/>
              <w:t>окончания реализа</w:t>
            </w:r>
            <w:r>
              <w:lastRenderedPageBreak/>
              <w:t>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b/>
              </w:rPr>
            </w:pPr>
          </w:p>
        </w:tc>
      </w:tr>
      <w:tr w:rsidR="00C8302C" w:rsidTr="000B52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7</w:t>
            </w:r>
          </w:p>
        </w:tc>
      </w:tr>
      <w:tr w:rsidR="00C8302C" w:rsidTr="000B52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Основное мероприятие 1 </w:t>
            </w:r>
          </w:p>
          <w:p w:rsidR="00C8302C" w:rsidRDefault="00C8302C" w:rsidP="000B52B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Благоустройство территории общего пользования</w:t>
            </w:r>
          </w:p>
          <w:p w:rsidR="00C8302C" w:rsidRDefault="00C8302C" w:rsidP="000B52B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ind w:right="-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b/>
              </w:rPr>
            </w:pPr>
            <w:r>
              <w:t xml:space="preserve">Комплексное благоустройство территорий общего пользования  поселения нуждающихся в благоустройстве за указанный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</w:pPr>
            <w:r>
              <w:t>Повышение уровня ответственности жителей за соблюдением надлежащего санитарного состояния общественных территорий, путем вовлечения граждан в реализацию мероприятий по благоустройству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</w:pPr>
            <w:r>
              <w:t>Доля благоустроенных общественных территорий в общей площади общественных территорий  сельских поселения</w:t>
            </w:r>
          </w:p>
        </w:tc>
      </w:tr>
    </w:tbl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jc w:val="right"/>
        <w:rPr>
          <w:sz w:val="27"/>
          <w:szCs w:val="27"/>
        </w:rPr>
      </w:pPr>
    </w:p>
    <w:p w:rsidR="00C8302C" w:rsidRDefault="00C8302C" w:rsidP="00C8302C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2/1</w:t>
      </w:r>
    </w:p>
    <w:p w:rsidR="00C8302C" w:rsidRDefault="00C8302C" w:rsidP="00C8302C">
      <w:pPr>
        <w:jc w:val="right"/>
        <w:rPr>
          <w:sz w:val="27"/>
          <w:szCs w:val="27"/>
        </w:rPr>
      </w:pP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Адресный перечень</w:t>
      </w:r>
    </w:p>
    <w:p w:rsidR="00C8302C" w:rsidRDefault="00C8302C" w:rsidP="00C8302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Всех общественных территорий, нуждающихся в благоустройстве и подлежащих благоустройству  в указанный период, определенный результатом инвентаризации общественных территорий, проведенных в установленном порядке.</w:t>
      </w:r>
    </w:p>
    <w:p w:rsidR="00C8302C" w:rsidRDefault="00C8302C" w:rsidP="00C8302C">
      <w:pPr>
        <w:ind w:left="-426"/>
        <w:jc w:val="both"/>
      </w:pPr>
      <w:r>
        <w:t xml:space="preserve">Наименование  муниципальной  программы - «Формирование комфортной городской среды в </w:t>
      </w:r>
      <w:proofErr w:type="spellStart"/>
      <w:r>
        <w:t>Эльтаркачскомсельском</w:t>
      </w:r>
      <w:proofErr w:type="spellEnd"/>
      <w:r>
        <w:t xml:space="preserve"> поселении»</w:t>
      </w:r>
    </w:p>
    <w:p w:rsidR="00C8302C" w:rsidRDefault="00C8302C" w:rsidP="00C8302C">
      <w:pPr>
        <w:ind w:left="-426"/>
        <w:jc w:val="both"/>
      </w:pPr>
      <w:r>
        <w:t xml:space="preserve">Ответственный исполнитель -  администрация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C8302C" w:rsidRDefault="00C8302C" w:rsidP="00C8302C">
      <w:pPr>
        <w:ind w:left="-426"/>
        <w:jc w:val="both"/>
      </w:pPr>
    </w:p>
    <w:tbl>
      <w:tblPr>
        <w:tblStyle w:val="12"/>
        <w:tblW w:w="13948" w:type="dxa"/>
        <w:tblLayout w:type="fixed"/>
        <w:tblLook w:val="04A0"/>
      </w:tblPr>
      <w:tblGrid>
        <w:gridCol w:w="592"/>
        <w:gridCol w:w="1641"/>
        <w:gridCol w:w="518"/>
        <w:gridCol w:w="1464"/>
        <w:gridCol w:w="425"/>
        <w:gridCol w:w="1276"/>
        <w:gridCol w:w="425"/>
        <w:gridCol w:w="1654"/>
        <w:gridCol w:w="425"/>
        <w:gridCol w:w="1559"/>
        <w:gridCol w:w="426"/>
        <w:gridCol w:w="1701"/>
        <w:gridCol w:w="425"/>
        <w:gridCol w:w="1417"/>
      </w:tblGrid>
      <w:tr w:rsidR="00C8302C" w:rsidTr="000B52B6">
        <w:trPr>
          <w:gridAfter w:val="12"/>
          <w:wAfter w:w="11715" w:type="dxa"/>
          <w:trHeight w:val="24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C8302C" w:rsidTr="000B52B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C8302C" w:rsidTr="000B52B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Эльтаркачское</w:t>
            </w:r>
            <w:proofErr w:type="spellEnd"/>
            <w:r>
              <w:rPr>
                <w:sz w:val="20"/>
                <w:szCs w:val="20"/>
              </w:rPr>
              <w:t xml:space="preserve"> СП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Эльтаркачское</w:t>
            </w:r>
            <w:proofErr w:type="spellEnd"/>
            <w:r>
              <w:rPr>
                <w:sz w:val="16"/>
                <w:szCs w:val="16"/>
              </w:rPr>
              <w:t xml:space="preserve">  СП, </w:t>
            </w:r>
          </w:p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Центральная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ind w:right="-11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 w:rsidRPr="00515234">
              <w:rPr>
                <w:rFonts w:eastAsia="Calibri"/>
                <w:sz w:val="16"/>
                <w:szCs w:val="16"/>
              </w:rPr>
              <w:t xml:space="preserve">Территория в районе мечети по </w:t>
            </w:r>
            <w:proofErr w:type="spellStart"/>
            <w:proofErr w:type="gramStart"/>
            <w:r w:rsidRPr="00515234">
              <w:rPr>
                <w:rFonts w:eastAsia="Calibri"/>
                <w:sz w:val="16"/>
                <w:szCs w:val="16"/>
              </w:rPr>
              <w:t>ул</w:t>
            </w:r>
            <w:proofErr w:type="spellEnd"/>
            <w:proofErr w:type="gramEnd"/>
            <w:r w:rsidRPr="00515234">
              <w:rPr>
                <w:rFonts w:eastAsia="Calibri"/>
                <w:sz w:val="16"/>
                <w:szCs w:val="16"/>
              </w:rPr>
              <w:t xml:space="preserve"> Центральная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 w:rsidRPr="00AD7E45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jc w:val="both"/>
              <w:rPr>
                <w:rFonts w:eastAsia="Calibri"/>
                <w:sz w:val="16"/>
                <w:szCs w:val="16"/>
              </w:rPr>
            </w:pPr>
            <w:r w:rsidRPr="00AD7E45">
              <w:rPr>
                <w:rFonts w:eastAsia="Calibri"/>
                <w:sz w:val="16"/>
                <w:szCs w:val="16"/>
              </w:rPr>
              <w:t>Территория в районе больницы по ул. Центральная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 w:rsidRPr="00AD7E4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jc w:val="both"/>
              <w:rPr>
                <w:rFonts w:eastAsia="Calibri"/>
                <w:sz w:val="16"/>
                <w:szCs w:val="16"/>
              </w:rPr>
            </w:pPr>
            <w:r w:rsidRPr="00AD7E45">
              <w:rPr>
                <w:rFonts w:eastAsia="Calibri"/>
                <w:sz w:val="16"/>
                <w:szCs w:val="16"/>
              </w:rPr>
              <w:t xml:space="preserve">Территория по </w:t>
            </w:r>
            <w:proofErr w:type="spellStart"/>
            <w:proofErr w:type="gramStart"/>
            <w:r w:rsidRPr="00AD7E45">
              <w:rPr>
                <w:rFonts w:eastAsia="Calibri"/>
                <w:sz w:val="16"/>
                <w:szCs w:val="16"/>
              </w:rPr>
              <w:t>ул</w:t>
            </w:r>
            <w:proofErr w:type="spellEnd"/>
            <w:proofErr w:type="gramEnd"/>
            <w:r w:rsidRPr="00AD7E45">
              <w:rPr>
                <w:rFonts w:eastAsia="Calibri"/>
                <w:sz w:val="16"/>
                <w:szCs w:val="16"/>
              </w:rPr>
              <w:t xml:space="preserve"> Колхозная (район бывшего клуба)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sz w:val="16"/>
                <w:szCs w:val="16"/>
              </w:rPr>
            </w:pPr>
            <w:r w:rsidRPr="00AD7E4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7E45">
              <w:rPr>
                <w:rFonts w:eastAsia="Calibri"/>
                <w:sz w:val="16"/>
                <w:szCs w:val="16"/>
              </w:rPr>
              <w:t>территория нарзанного источника</w:t>
            </w:r>
            <w:proofErr w:type="gramStart"/>
            <w:r w:rsidRPr="00AD7E45">
              <w:rPr>
                <w:rFonts w:eastAsia="Calibri"/>
                <w:sz w:val="16"/>
                <w:szCs w:val="16"/>
              </w:rPr>
              <w:t xml:space="preserve"> ,</w:t>
            </w:r>
            <w:proofErr w:type="gramEnd"/>
            <w:r w:rsidRPr="00AD7E45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AD7E45">
              <w:rPr>
                <w:rFonts w:eastAsia="Calibri"/>
                <w:sz w:val="16"/>
                <w:szCs w:val="16"/>
              </w:rPr>
              <w:t>расположенногор</w:t>
            </w:r>
            <w:proofErr w:type="spellEnd"/>
            <w:r w:rsidRPr="00AD7E45">
              <w:rPr>
                <w:rFonts w:eastAsia="Calibri"/>
                <w:sz w:val="16"/>
                <w:szCs w:val="16"/>
              </w:rPr>
              <w:t xml:space="preserve"> при въезде в аул справа</w:t>
            </w:r>
          </w:p>
        </w:tc>
      </w:tr>
    </w:tbl>
    <w:p w:rsidR="00C8302C" w:rsidRDefault="00C8302C" w:rsidP="00C8302C">
      <w:pPr>
        <w:ind w:left="-426"/>
        <w:jc w:val="both"/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ind w:left="-426"/>
        <w:jc w:val="both"/>
        <w:rPr>
          <w:color w:val="FF0000"/>
        </w:rPr>
      </w:pPr>
    </w:p>
    <w:p w:rsidR="00C8302C" w:rsidRDefault="00C8302C" w:rsidP="00C8302C">
      <w:pPr>
        <w:rPr>
          <w:sz w:val="27"/>
          <w:szCs w:val="27"/>
        </w:rPr>
      </w:pPr>
    </w:p>
    <w:p w:rsidR="00C8302C" w:rsidRDefault="00C8302C" w:rsidP="00C8302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Приложение №2/2 </w:t>
      </w: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РЕСУРСНОЕ ОБЕСПЕЧЕНИЕ</w:t>
      </w:r>
    </w:p>
    <w:p w:rsidR="00C8302C" w:rsidRDefault="00C8302C" w:rsidP="00C8302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реализации  муниципальной  программы за счет средств республиканского бюджета Карачаево-Черкесской Республики</w:t>
      </w:r>
    </w:p>
    <w:p w:rsidR="00C8302C" w:rsidRDefault="00C8302C" w:rsidP="00C8302C">
      <w:pPr>
        <w:ind w:left="-426"/>
        <w:jc w:val="both"/>
      </w:pPr>
      <w:r>
        <w:t xml:space="preserve">Наименование  муниципальной  программы - «Формирование комфортной городской среды в  </w:t>
      </w:r>
      <w:proofErr w:type="spellStart"/>
      <w:r>
        <w:t>Эльтаркачском</w:t>
      </w:r>
      <w:proofErr w:type="spellEnd"/>
      <w:r>
        <w:t xml:space="preserve"> сельском поселении»</w:t>
      </w:r>
    </w:p>
    <w:p w:rsidR="00C8302C" w:rsidRDefault="00C8302C" w:rsidP="00C8302C">
      <w:pPr>
        <w:ind w:left="-426"/>
        <w:jc w:val="both"/>
      </w:pPr>
      <w:r>
        <w:t xml:space="preserve">Ответственный исполнитель -  администрация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C8302C" w:rsidRDefault="00C8302C" w:rsidP="00C8302C">
      <w:pPr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1701"/>
        <w:gridCol w:w="1418"/>
        <w:gridCol w:w="1276"/>
        <w:gridCol w:w="1275"/>
        <w:gridCol w:w="1276"/>
        <w:gridCol w:w="1418"/>
        <w:gridCol w:w="1594"/>
        <w:gridCol w:w="1099"/>
        <w:gridCol w:w="850"/>
      </w:tblGrid>
      <w:tr w:rsidR="00C8302C" w:rsidTr="000B52B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lastRenderedPageBreak/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ind w:left="-113" w:right="-108"/>
              <w:jc w:val="center"/>
            </w:pPr>
            <w:r>
              <w:t xml:space="preserve">Наименование   программы, основного </w:t>
            </w:r>
          </w:p>
          <w:p w:rsidR="00C8302C" w:rsidRDefault="00C8302C" w:rsidP="000B52B6">
            <w:pPr>
              <w:tabs>
                <w:tab w:val="left" w:pos="1490"/>
              </w:tabs>
              <w:ind w:left="-113" w:right="-108"/>
              <w:jc w:val="center"/>
            </w:pPr>
            <w:r>
              <w:t>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Ответственный исполнитель,</w:t>
            </w:r>
          </w:p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соисполнитель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center"/>
            </w:pPr>
            <w:r>
              <w:t xml:space="preserve">Финансовые средства                   </w:t>
            </w:r>
            <w:r>
              <w:rPr>
                <w:szCs w:val="16"/>
              </w:rPr>
              <w:t>(тыс. рублей)</w:t>
            </w:r>
          </w:p>
        </w:tc>
      </w:tr>
      <w:tr w:rsidR="00C8302C" w:rsidTr="000B52B6">
        <w:trPr>
          <w:trHeight w:val="2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</w:pPr>
            <w:r>
              <w:t>2021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jc w:val="center"/>
            </w:pPr>
            <w:r>
              <w:t>2024 год</w:t>
            </w:r>
          </w:p>
        </w:tc>
      </w:tr>
      <w:tr w:rsidR="00C8302C" w:rsidTr="000B52B6">
        <w:trPr>
          <w:trHeight w:val="126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ind w:right="-103"/>
            </w:pPr>
            <w:r>
              <w:t xml:space="preserve"> Муниципальная</w:t>
            </w:r>
          </w:p>
          <w:p w:rsidR="00C8302C" w:rsidRDefault="00C8302C" w:rsidP="000B52B6">
            <w:pPr>
              <w:ind w:right="-103"/>
            </w:pPr>
            <w:r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jc w:val="both"/>
            </w:pPr>
            <w:r w:rsidRPr="00AD7E45">
              <w:t xml:space="preserve">«Формирование современной городской среды  </w:t>
            </w:r>
            <w:proofErr w:type="spellStart"/>
            <w:r w:rsidRPr="00AD7E45">
              <w:t>вЭльтаркачском</w:t>
            </w:r>
            <w:proofErr w:type="spellEnd"/>
            <w:r w:rsidRPr="00AD7E45">
              <w:t xml:space="preserve"> сельском </w:t>
            </w:r>
            <w:proofErr w:type="gramStart"/>
            <w:r w:rsidRPr="00AD7E45">
              <w:t>поселении</w:t>
            </w:r>
            <w:proofErr w:type="gramEnd"/>
            <w:r w:rsidRPr="00AD7E45"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jc w:val="both"/>
            </w:pPr>
            <w:r w:rsidRPr="00AD7E45">
              <w:t xml:space="preserve"> Администрация </w:t>
            </w:r>
            <w:proofErr w:type="spellStart"/>
            <w:r w:rsidRPr="00AD7E45">
              <w:t>Эльтаркачского</w:t>
            </w:r>
            <w:proofErr w:type="spellEnd"/>
            <w:r w:rsidRPr="00AD7E45">
              <w:t xml:space="preserve">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согласованию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center" w:pos="583"/>
                <w:tab w:val="left" w:pos="14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3990,0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</w:tr>
      <w:tr w:rsidR="00C8302C" w:rsidTr="000B52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center" w:pos="583"/>
                <w:tab w:val="left" w:pos="149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3990,0</w:t>
            </w:r>
          </w:p>
        </w:tc>
      </w:tr>
      <w:tr w:rsidR="00C8302C" w:rsidTr="000B52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</w:pPr>
            <w: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center" w:pos="583"/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1260,0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1260,0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1260,0</w:t>
            </w:r>
          </w:p>
        </w:tc>
      </w:tr>
      <w:tr w:rsidR="00C8302C" w:rsidTr="000B52B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2C" w:rsidRDefault="00C8302C" w:rsidP="000B52B6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jc w:val="both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tabs>
                <w:tab w:val="center" w:pos="583"/>
                <w:tab w:val="left" w:pos="1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15,3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15,3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r>
              <w:rPr>
                <w:color w:val="000000" w:themeColor="text1"/>
              </w:rPr>
              <w:t>15,3</w:t>
            </w:r>
          </w:p>
        </w:tc>
      </w:tr>
    </w:tbl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both"/>
        <w:rPr>
          <w:color w:val="FF0000"/>
          <w:sz w:val="28"/>
          <w:szCs w:val="28"/>
        </w:rPr>
      </w:pPr>
    </w:p>
    <w:p w:rsidR="00C8302C" w:rsidRDefault="00C8302C" w:rsidP="00C8302C">
      <w:pPr>
        <w:pStyle w:val="ac"/>
        <w:shd w:val="clear" w:color="auto" w:fill="FFFFFF"/>
        <w:ind w:left="0"/>
        <w:jc w:val="right"/>
      </w:pPr>
      <w:r>
        <w:t xml:space="preserve"> Приложение № 2/3</w:t>
      </w:r>
    </w:p>
    <w:p w:rsidR="00C8302C" w:rsidRDefault="00C8302C" w:rsidP="00C8302C">
      <w:pPr>
        <w:autoSpaceDE w:val="0"/>
        <w:autoSpaceDN w:val="0"/>
        <w:adjustRightInd w:val="0"/>
        <w:jc w:val="right"/>
        <w:outlineLvl w:val="2"/>
      </w:pPr>
    </w:p>
    <w:p w:rsidR="00C8302C" w:rsidRDefault="00C8302C" w:rsidP="00C8302C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План реализации муниципальной программы  </w:t>
      </w:r>
    </w:p>
    <w:p w:rsidR="00C8302C" w:rsidRDefault="00C8302C" w:rsidP="00C8302C">
      <w:pPr>
        <w:ind w:left="-426"/>
        <w:jc w:val="both"/>
      </w:pPr>
      <w:r>
        <w:t xml:space="preserve">Наименование  муниципальной  программы - «Формирование комфортной городской среды в  </w:t>
      </w:r>
      <w:proofErr w:type="spellStart"/>
      <w:r>
        <w:t>Эльтаркачском</w:t>
      </w:r>
      <w:proofErr w:type="spellEnd"/>
      <w:r>
        <w:t xml:space="preserve"> сельском поселении»</w:t>
      </w:r>
    </w:p>
    <w:p w:rsidR="00C8302C" w:rsidRDefault="00C8302C" w:rsidP="00C8302C">
      <w:pPr>
        <w:autoSpaceDE w:val="0"/>
        <w:autoSpaceDN w:val="0"/>
        <w:adjustRightInd w:val="0"/>
        <w:outlineLvl w:val="2"/>
      </w:pPr>
      <w:r>
        <w:t xml:space="preserve">Ответственный исполнитель -  администрация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3402"/>
        <w:gridCol w:w="3012"/>
        <w:gridCol w:w="1134"/>
        <w:gridCol w:w="1134"/>
        <w:gridCol w:w="2836"/>
        <w:gridCol w:w="3399"/>
      </w:tblGrid>
      <w:tr w:rsidR="00C8302C" w:rsidTr="000B5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показатель, для достижения которого выполняется мероприятие</w:t>
            </w:r>
          </w:p>
        </w:tc>
      </w:tr>
      <w:tr w:rsidR="00C8302C" w:rsidTr="000B52B6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</w:t>
            </w:r>
          </w:p>
        </w:tc>
      </w:tr>
      <w:tr w:rsidR="00C8302C" w:rsidTr="000B5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E45">
              <w:t xml:space="preserve">Формирование комфортной городской среды в  </w:t>
            </w:r>
            <w:proofErr w:type="spellStart"/>
            <w:r w:rsidRPr="00AD7E45">
              <w:t>Эльтаркачскомсельском</w:t>
            </w:r>
            <w:proofErr w:type="spellEnd"/>
            <w:r w:rsidRPr="00AD7E45">
              <w:t xml:space="preserve"> поселении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Pr="00AD7E45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E45">
              <w:t xml:space="preserve">  Глава администрации </w:t>
            </w:r>
            <w:proofErr w:type="spellStart"/>
            <w:r w:rsidRPr="00AD7E45">
              <w:t>Айбазов</w:t>
            </w:r>
            <w:proofErr w:type="spellEnd"/>
            <w:r w:rsidRPr="00AD7E45">
              <w:t xml:space="preserve"> Б.А.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качественной городской среды в муниципальных образованиях, оптимально раскрывающей инвестиционный потенциал территорий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2C" w:rsidRDefault="00C8302C" w:rsidP="000B52B6">
            <w:pPr>
              <w:widowControl w:val="0"/>
              <w:tabs>
                <w:tab w:val="left" w:pos="193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благоустройства всех дворовых и общественных территорий муниципальных </w:t>
            </w:r>
            <w:proofErr w:type="gramStart"/>
            <w:r>
              <w:rPr>
                <w:sz w:val="20"/>
                <w:szCs w:val="20"/>
              </w:rPr>
              <w:t>образований</w:t>
            </w:r>
            <w:proofErr w:type="gramEnd"/>
            <w:r>
              <w:rPr>
                <w:sz w:val="20"/>
                <w:szCs w:val="20"/>
              </w:rPr>
              <w:t xml:space="preserve"> нуждающихся в комфортном обустройстве для жителей, в том числе для </w:t>
            </w:r>
            <w:proofErr w:type="spellStart"/>
            <w:r>
              <w:rPr>
                <w:sz w:val="20"/>
                <w:szCs w:val="20"/>
              </w:rPr>
              <w:t>маломобильных</w:t>
            </w:r>
            <w:proofErr w:type="spellEnd"/>
            <w:r>
              <w:rPr>
                <w:sz w:val="20"/>
                <w:szCs w:val="20"/>
              </w:rPr>
              <w:t xml:space="preserve"> групп населения</w:t>
            </w:r>
          </w:p>
        </w:tc>
      </w:tr>
    </w:tbl>
    <w:p w:rsidR="00C8302C" w:rsidRDefault="00C8302C" w:rsidP="00C8302C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</w:p>
    <w:p w:rsidR="00C8302C" w:rsidRPr="00F81C80" w:rsidRDefault="00C8302C" w:rsidP="00C8302C">
      <w:pPr>
        <w:autoSpaceDE w:val="0"/>
        <w:autoSpaceDN w:val="0"/>
        <w:adjustRightInd w:val="0"/>
        <w:rPr>
          <w:noProof/>
        </w:rPr>
      </w:pPr>
    </w:p>
    <w:p w:rsidR="00C8302C" w:rsidRPr="00F81C80" w:rsidRDefault="00C8302C" w:rsidP="00C8302C">
      <w:pPr>
        <w:autoSpaceDE w:val="0"/>
        <w:autoSpaceDN w:val="0"/>
        <w:adjustRightInd w:val="0"/>
        <w:rPr>
          <w:noProof/>
        </w:rPr>
      </w:pPr>
    </w:p>
    <w:p w:rsidR="00C8302C" w:rsidRPr="00F81C80" w:rsidRDefault="00C8302C" w:rsidP="00C8302C">
      <w:pPr>
        <w:autoSpaceDE w:val="0"/>
        <w:autoSpaceDN w:val="0"/>
        <w:adjustRightInd w:val="0"/>
        <w:rPr>
          <w:noProof/>
        </w:rPr>
      </w:pPr>
    </w:p>
    <w:p w:rsidR="00C8302C" w:rsidRPr="00F81C80" w:rsidRDefault="00C8302C" w:rsidP="00C8302C"/>
    <w:p w:rsidR="00C8302C" w:rsidRPr="00F81C80" w:rsidRDefault="00C8302C" w:rsidP="00C8302C"/>
    <w:p w:rsidR="00C8302C" w:rsidRPr="00F81C80" w:rsidRDefault="00C8302C" w:rsidP="00C8302C"/>
    <w:p w:rsidR="00C8302C" w:rsidRPr="00F81C80" w:rsidRDefault="00C8302C" w:rsidP="00C8302C"/>
    <w:p w:rsidR="00C8302C" w:rsidRPr="00F81C80" w:rsidRDefault="00C8302C" w:rsidP="00C8302C"/>
    <w:p w:rsidR="00C8302C" w:rsidRPr="00F81C80" w:rsidRDefault="00C8302C" w:rsidP="00C8302C"/>
    <w:p w:rsidR="00C8302C" w:rsidRPr="00F81C80" w:rsidRDefault="00C8302C" w:rsidP="00C8302C">
      <w:pPr>
        <w:rPr>
          <w:color w:val="000000"/>
          <w:spacing w:val="7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8302C" w:rsidRDefault="00C8302C" w:rsidP="00C8302C">
      <w:pPr>
        <w:rPr>
          <w:color w:val="FF0000"/>
        </w:rPr>
      </w:pPr>
    </w:p>
    <w:p w:rsidR="00CA3BD9" w:rsidRPr="00C8302C" w:rsidRDefault="00CA3BD9" w:rsidP="00C8302C"/>
    <w:sectPr w:rsidR="00CA3BD9" w:rsidRPr="00C8302C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52B07"/>
    <w:multiLevelType w:val="multilevel"/>
    <w:tmpl w:val="C614854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4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F5C6F"/>
    <w:rsid w:val="0087727A"/>
    <w:rsid w:val="008F5E14"/>
    <w:rsid w:val="009A7E8C"/>
    <w:rsid w:val="009C5B4E"/>
    <w:rsid w:val="00A06849"/>
    <w:rsid w:val="00A12F00"/>
    <w:rsid w:val="00B3335D"/>
    <w:rsid w:val="00C040E3"/>
    <w:rsid w:val="00C8302C"/>
    <w:rsid w:val="00CA3BD9"/>
    <w:rsid w:val="00CD6591"/>
    <w:rsid w:val="00DF21EA"/>
    <w:rsid w:val="00E36EA4"/>
    <w:rsid w:val="00E45673"/>
    <w:rsid w:val="00FB58AE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830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8302C"/>
    <w:rPr>
      <w:rFonts w:ascii="Arial" w:eastAsia="Times New Roman" w:hAnsi="Arial" w:cs="Arial"/>
      <w:kern w:val="2"/>
      <w:sz w:val="20"/>
      <w:szCs w:val="20"/>
      <w:lang w:eastAsia="zh-CN" w:bidi="hi-IN"/>
    </w:rPr>
  </w:style>
  <w:style w:type="table" w:customStyle="1" w:styleId="12">
    <w:name w:val="Сетка таблицы1"/>
    <w:basedOn w:val="a3"/>
    <w:uiPriority w:val="59"/>
    <w:rsid w:val="00C8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2359</Words>
  <Characters>13448</Characters>
  <Application>Microsoft Office Word</Application>
  <DocSecurity>0</DocSecurity>
  <Lines>112</Lines>
  <Paragraphs>31</Paragraphs>
  <ScaleCrop>false</ScaleCrop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2019-05-28T12:20:00Z</dcterms:created>
  <dcterms:modified xsi:type="dcterms:W3CDTF">2019-05-28T12:38:00Z</dcterms:modified>
</cp:coreProperties>
</file>