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33" w:rsidRDefault="00B53D33" w:rsidP="00B53D3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B53D33" w:rsidRDefault="00B53D33" w:rsidP="00B53D33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53D33" w:rsidRDefault="00B53D33" w:rsidP="00B53D33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B53D33" w:rsidRDefault="00B53D33" w:rsidP="00B53D33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B53D33" w:rsidRDefault="00B53D33" w:rsidP="00B53D33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B53D33" w:rsidRDefault="00B53D33" w:rsidP="00B53D33">
      <w:pPr>
        <w:jc w:val="center"/>
        <w:rPr>
          <w:b/>
        </w:rPr>
      </w:pPr>
      <w:r>
        <w:rPr>
          <w:b/>
        </w:rPr>
        <w:t>ПОСТАНОВЛЕНИЕ</w:t>
      </w:r>
    </w:p>
    <w:p w:rsidR="00B53D33" w:rsidRDefault="00B53D33" w:rsidP="00B53D33">
      <w:pPr>
        <w:jc w:val="center"/>
        <w:rPr>
          <w:b/>
        </w:rPr>
      </w:pPr>
    </w:p>
    <w:p w:rsidR="00B53D33" w:rsidRDefault="00B53D33" w:rsidP="00B53D33">
      <w:pPr>
        <w:rPr>
          <w:sz w:val="28"/>
          <w:szCs w:val="28"/>
        </w:rPr>
      </w:pPr>
      <w:r>
        <w:rPr>
          <w:sz w:val="28"/>
          <w:szCs w:val="28"/>
        </w:rPr>
        <w:t xml:space="preserve"> 12.11.2015г.                                а. Эльтаркач                    № 50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  формировании, утверждении  и  ведении                                                                  планов-графиков закупок товаров, работ, услуг для обеспечения муниципальных  нужд  Эльтаркачского сельского поселения  </w:t>
      </w:r>
    </w:p>
    <w:p w:rsidR="00B53D33" w:rsidRDefault="00B53D33" w:rsidP="00B53D33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05.04.2014 года № 44-ФЗ, постановлением Правительства РФ от 21.11.2013 № 1044 «О требованиях к формированию, утверждению и ведению планов-графиков  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</w:p>
    <w:p w:rsidR="00B53D33" w:rsidRDefault="00B53D33" w:rsidP="00B53D33">
      <w:pPr>
        <w:rPr>
          <w:sz w:val="28"/>
          <w:szCs w:val="28"/>
        </w:rPr>
      </w:pPr>
    </w:p>
    <w:p w:rsidR="00B53D33" w:rsidRDefault="00B53D33" w:rsidP="00B53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прилагаемые:</w:t>
      </w:r>
    </w:p>
    <w:p w:rsidR="00B53D33" w:rsidRDefault="00B53D33" w:rsidP="00B53D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1) Порядок формирования, утверждения и ведения планов – графиков закупок товаров, работ, услуг для обеспечения муниципальных нужд  Эльтаркачского сельского поселения  согласно приложению № 1; </w:t>
      </w:r>
    </w:p>
    <w:p w:rsidR="00B53D33" w:rsidRDefault="00B53D33" w:rsidP="00B53D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2) Положение о форме планов – графиков закупок товаров, работ, услуг согласно приложению № 2.                                                                                                                                            2. Настоящее постановление вступает в силу со дня обнародования на информационном  стенде  администрации  сельского поселения.                                     3.  Разместить настоящее постановление на официальном сайте администрации  Эльтаркачского сельского поселения  в сети «Интернет»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8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на Региональном портале государственных услуг Карачаево – Черкесской Республики (далее – Региональный портал) -</w:t>
      </w:r>
      <w:hyperlink r:id="rId9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.09.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4. Контроль за выполнением настоящего постановления   оставляю за собой.</w:t>
      </w:r>
    </w:p>
    <w:p w:rsidR="00B53D33" w:rsidRDefault="00B53D33" w:rsidP="00B53D33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B53D33" w:rsidRDefault="00B53D33" w:rsidP="00B53D33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 Эльтаркачского</w:t>
      </w:r>
    </w:p>
    <w:p w:rsidR="00B53D33" w:rsidRDefault="00B53D33" w:rsidP="00B53D33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           Б. А.Айбазов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br/>
        <w:t>к постановлению Администрации </w:t>
      </w:r>
      <w:r>
        <w:rPr>
          <w:sz w:val="28"/>
          <w:szCs w:val="28"/>
        </w:rPr>
        <w:br/>
        <w:t xml:space="preserve">                 Эльтаркачского сельского поселения 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12.11. 2015 № 50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Порядокформирования, утверждения и ведения планов-графиковзакупок товаров, работ, услуг для обеспечения муниципальных нужд   Эльтаркачского сельского поселения</w:t>
      </w: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  Эльтаркачского сельского поселения 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B53D33" w:rsidRDefault="00B53D33" w:rsidP="00B53D33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 xml:space="preserve">2. Порядок  формирования, утверждения и ведения планов-графиков закупок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10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на Региональном портале государственных услуг Карачаево – Черкесской Республики (далее – Региональный портал) -</w:t>
      </w:r>
      <w:hyperlink r:id="rId11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.09.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.,  для размещения информации о размещении заказов на поставки товаров, выполнение работ, оказание услуг 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Планы-графики закупок формируются и утверждаются администрацией Эльтаркачского сельского поселения   в течение 10 рабочих дней  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План-график закупок формируется администрацией Эльтаркачского сельского поселения   ежегодно на очередной финансовый год в соответствии с планом закупок в сроки, установленные постановлением администрации сельского поселения   с учетом следующих положений:                                                  - формированием планов-графиков закупок после внесения проекта решения о бюджете на рассмотрение Совета Эльтаркачского сельского поселения;                    - уточнением при необходимости сформированных планов-графиков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В план-график  закупок  подлежит  включению  перечень  товаров,  работ, услуг, закупка которых  осуществляется путем проведения конкурса (открытого конкурса, конкурса с ограниченным участием, 2-этапного </w:t>
      </w:r>
      <w:r>
        <w:rPr>
          <w:sz w:val="28"/>
          <w:szCs w:val="28"/>
        </w:rPr>
        <w:lastRenderedPageBreak/>
        <w:t>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                                                                                                                                        6. В случае если определение поставщиков (подрядчиков, исполнителей) для лиц, указанных  в  пункте  3  настоящего  требования, 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 системе, то формирование  планов-графиков  закупок осуществляется  с  учетом  порядка  взаимодействия  заказчиков  с уполномоченным  органом,  уполномоченным  учреждением.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В план-график закупок включается информация  о закупках, об осуществлении  которых  размещаются 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В случае если период осуществления закупки, включаемой в план-график закупок администрации сельского поселения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Администрация сельского поселения ведет планы-графики  закупок  в соответствии с положениями Федерального закона о контрактной системе и настоящего требования. Внесение изменений в планы-графики закупок осуществляется в случаях:                                                                                                        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                                                                             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                                                           в) отмены заказчиком закупки, предусмотренной планом-графиком закупок;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</w:t>
      </w:r>
      <w:r>
        <w:rPr>
          <w:sz w:val="28"/>
          <w:szCs w:val="28"/>
        </w:rPr>
        <w:lastRenderedPageBreak/>
        <w:t>Федерации;                                                                                                                                   д) выдачи предписания Финансовым управлением Администрации Усть-Джегутинского муниципального района , уполномоченным органом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                                                                                                                            е) реализации решения, принятого заказчиком по итогам обязательного общественного обсуждения закупки;                                                                                     ж) возникновения обстоятельств, предвидеть которые на дату утверждения плана-графика закупок было невозможно;                                                                           з) в иных случаях, установленных постановлением администрации сельского поселения в порядке формирования, утверждения и ведения планов-графиков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требования, а в случае 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В случае  осуществления  закупок  путем проведения запроса котировок  в целях оказания гуманитарной помощи , либо ликвидации  последствий чрезвычайных ситуаций природного или техногенного характера, 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  </w:t>
      </w:r>
      <w:r>
        <w:rPr>
          <w:sz w:val="28"/>
          <w:szCs w:val="28"/>
        </w:rPr>
        <w:br/>
        <w:t>к постановлению  Администрации </w:t>
      </w:r>
      <w:r>
        <w:rPr>
          <w:sz w:val="28"/>
          <w:szCs w:val="28"/>
        </w:rPr>
        <w:br/>
        <w:t xml:space="preserve">Эльтаркачского сельского поселения                               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От12.11. 2015       № 50                                                       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ФОРМЕ ПЛАНОВ-ГРАФИКОВ ЗАКУПОК ТОВАРОВ, РАБОТ, УСЛУГ</w:t>
      </w: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План-график закупок товаров, работ, услуг для обеспечения муниципальных нужд  Эльтаркачского сельского поселения  (далее - закупки) представляет собой единый документ, форма которого включает в том числе: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г) код по Общероссийскому классификатору территорий муниципальных образований;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д) таблицу, включающую в том числе следующую информацию: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код закупки, сформированный в соответствии со статьей 23 Федерального закона о контрактной системе;                                                                      -наименование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                                                                                                          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</w:t>
      </w:r>
      <w:r>
        <w:rPr>
          <w:sz w:val="28"/>
          <w:szCs w:val="28"/>
        </w:rPr>
        <w:lastRenderedPageBreak/>
        <w:t xml:space="preserve">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                                                                 - размер аванса (если предусмотрена выплата аванса);                                                       -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бюджетного,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                                                                                                      - 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группировочные  наименования;                                                                   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                                                                                                                  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закупки, включаемой в план-график закупок бюджетного,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                                                                                                         - планируемый срок (периодичность) поставки товара, выполнения работы, оказания услуги (месяц, год).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</w:t>
      </w:r>
      <w:r>
        <w:rPr>
          <w:sz w:val="28"/>
          <w:szCs w:val="28"/>
        </w:rPr>
        <w:lastRenderedPageBreak/>
        <w:t>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                                              - размер обеспечения заявки и размер обеспечения исполнения контракта;                           - планируемый  срок  размещения  извещения  об  осуществлении  закупки, направления  приглашения  принять  участие  в  определении 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                                                                           - планируемый срок исполнения контракта (месяц, год);                                                     - способ определения поставщика (подрядчика, исполнителя);                                                 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                                                                                                                            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                                                 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                                 - дополнительные требования к участникам закупки (при наличии таких требований) и обоснование таких требований;                                                                       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                                                   - информация о банковском сопровождении контракта в случаях, установленных в соответствии со статьей 35 Федерального закона о контрактной системе;                                                                                                                      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                                                                              - наименование организатора совместного конкурса или аукциона (в случае проведения совместного конкурса или аукциона);                                                                             - дата, содержание и обоснование изменений, внесенных в утвержденный план-график закупок (при их наличии);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</w:t>
      </w:r>
      <w:r>
        <w:rPr>
          <w:sz w:val="28"/>
          <w:szCs w:val="28"/>
        </w:rPr>
        <w:lastRenderedPageBreak/>
        <w:t>контрактной системе, включающие обоснования:                                                               -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планах-графиках закупок отдельными строками указываются:                                 а) информация о закупках, которые планируется осуществлять в соответствии с </w:t>
      </w:r>
      <w:hyperlink r:id="rId12" w:history="1">
        <w:r>
          <w:rPr>
            <w:rStyle w:val="a8"/>
            <w:rFonts w:eastAsia="Calibri"/>
            <w:sz w:val="28"/>
            <w:szCs w:val="28"/>
          </w:rPr>
          <w:t>пунктом</w:t>
        </w:r>
      </w:hyperlink>
      <w:r>
        <w:rPr>
          <w:sz w:val="28"/>
          <w:szCs w:val="28"/>
        </w:rPr>
        <w:t> </w:t>
      </w:r>
      <w:hyperlink r:id="rId13" w:history="1">
        <w:r>
          <w:rPr>
            <w:rStyle w:val="a8"/>
            <w:rFonts w:eastAsia="Calibri"/>
            <w:sz w:val="28"/>
            <w:szCs w:val="28"/>
          </w:rPr>
          <w:t>7 части 2 статьи 83</w:t>
        </w:r>
      </w:hyperlink>
      <w:r>
        <w:rPr>
          <w:sz w:val="28"/>
          <w:szCs w:val="28"/>
        </w:rPr>
        <w:t xml:space="preserve"> Федерального закона о контрактной системе в размере совокупного годового объема финансового обеспечения по объекту закупки:  лекарственные  препараты;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б) информация о закупках, которые планируется осуществлять в соответствии с </w:t>
      </w:r>
      <w:hyperlink r:id="rId14" w:history="1">
        <w:r>
          <w:rPr>
            <w:rStyle w:val="a8"/>
            <w:rFonts w:eastAsia="Calibri"/>
            <w:sz w:val="28"/>
            <w:szCs w:val="28"/>
          </w:rPr>
          <w:t>пунктами 4</w:t>
        </w:r>
      </w:hyperlink>
      <w:r>
        <w:rPr>
          <w:sz w:val="28"/>
          <w:szCs w:val="28"/>
        </w:rPr>
        <w:t> и </w:t>
      </w:r>
      <w:hyperlink r:id="rId15" w:history="1">
        <w:r>
          <w:rPr>
            <w:rStyle w:val="a8"/>
            <w:rFonts w:eastAsia="Calibri"/>
            <w:sz w:val="28"/>
            <w:szCs w:val="28"/>
          </w:rPr>
          <w:t>5 части 1 статьи 93</w:t>
        </w:r>
      </w:hyperlink>
      <w:r>
        <w:rPr>
          <w:sz w:val="28"/>
          <w:szCs w:val="28"/>
        </w:rPr>
        <w:t> 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товары, работы или услуги на сумму, не превышающую 100 тыс. рублей;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товары, работы или услуги на сумму, не превышающую 400 тыс. рублей;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в) информация о закупках, которые планируется осуществлять в соответствии с </w:t>
      </w:r>
      <w:hyperlink r:id="rId16" w:history="1">
        <w:r>
          <w:rPr>
            <w:rStyle w:val="a8"/>
            <w:rFonts w:eastAsia="Calibri"/>
            <w:sz w:val="28"/>
            <w:szCs w:val="28"/>
          </w:rPr>
          <w:t>пунктом 33 части 1 статьи 93</w:t>
        </w:r>
      </w:hyperlink>
      <w:r>
        <w:rPr>
          <w:sz w:val="28"/>
          <w:szCs w:val="28"/>
        </w:rPr>
        <w:t xml:space="preserve"> Федерального закона о контрактной системе в размере  совокупного  годового  объема финансового обеспечения по каждому из следующих объектов закупки: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 </w:t>
      </w:r>
      <w:hyperlink r:id="rId17" w:history="1">
        <w:r>
          <w:rPr>
            <w:rStyle w:val="a8"/>
            <w:rFonts w:eastAsia="Calibri"/>
            <w:sz w:val="28"/>
            <w:szCs w:val="28"/>
          </w:rPr>
          <w:t>статьей 72</w:t>
        </w:r>
      </w:hyperlink>
      <w:r>
        <w:rPr>
          <w:sz w:val="28"/>
          <w:szCs w:val="28"/>
        </w:rPr>
        <w:t xml:space="preserve"> Федерального закона о контрактной системе;                                                                                                                                    д)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системе;е)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</w:t>
      </w:r>
      <w:r>
        <w:rPr>
          <w:sz w:val="28"/>
          <w:szCs w:val="28"/>
        </w:rPr>
        <w:lastRenderedPageBreak/>
        <w:t>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Порядок включения дополнительных сведений в планы-графики закупок, а также форма плана-графика закупок, включающая дополнительные сведения, определяется муниципальным правовым актом, устанавливающим дополнительные сведения.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71446D" w:rsidRPr="005D031A" w:rsidRDefault="0071446D" w:rsidP="005D031A"/>
    <w:sectPr w:rsidR="0071446D" w:rsidRPr="005D031A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CE" w:rsidRDefault="001A5FCE" w:rsidP="002D6374">
      <w:r>
        <w:separator/>
      </w:r>
    </w:p>
  </w:endnote>
  <w:endnote w:type="continuationSeparator" w:id="1">
    <w:p w:rsidR="001A5FCE" w:rsidRDefault="001A5FCE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CE" w:rsidRDefault="001A5FCE" w:rsidP="002D6374">
      <w:r>
        <w:separator/>
      </w:r>
    </w:p>
  </w:footnote>
  <w:footnote w:type="continuationSeparator" w:id="1">
    <w:p w:rsidR="001A5FCE" w:rsidRDefault="001A5FCE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A5FCE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18E5801D683057523FD3D96F4946E5BDAA7AC8305B96DEE38E3732F6F4860EA7D49CEBC670FACD373w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8E5801D683057523FD3D96F4946E5BDAA7AC8305B96DEE38E3732F6F4860EA7D49CEBC670FACD373w7H" TargetMode="External"/><Relationship Id="rId17" Type="http://schemas.openxmlformats.org/officeDocument/2006/relationships/hyperlink" Target="consultantplus://offline/ref=718E5801D683057523FD3D96F4946E5BDAA7AC8305B96DEE38E3732F6F4860EA7D49CEBC670EA5D273w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8E5801D683057523FD3D96F4946E5BDAA7AC8305B96DEE38E3732F6F4860EA7D49CEBC670FABD273w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8E5801D683057523FD3D96F4946E5BDAA7AC8305B96DEE38E3732F6F4860EA7D49CEBC670FAEDC73w1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09.gosuslugi.ru/" TargetMode="External"/><Relationship Id="rId14" Type="http://schemas.openxmlformats.org/officeDocument/2006/relationships/hyperlink" Target="consultantplus://offline/ref=718E5801D683057523FD3D96F4946E5BDAA7AC8305B96DEE38E3732F6F4860EA7D49CEBC670FAEDC73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31</cp:revision>
  <cp:lastPrinted>2001-12-31T20:28:00Z</cp:lastPrinted>
  <dcterms:created xsi:type="dcterms:W3CDTF">2002-01-01T00:35:00Z</dcterms:created>
  <dcterms:modified xsi:type="dcterms:W3CDTF">2015-12-21T11:48:00Z</dcterms:modified>
</cp:coreProperties>
</file>